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06" w:rsidRDefault="00AF0906" w:rsidP="00AF0906">
      <w:pPr>
        <w:ind w:left="10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06" w:rsidRDefault="00AF0906" w:rsidP="00AF0906">
      <w:pPr>
        <w:ind w:left="10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06" w:rsidRDefault="00AF0906" w:rsidP="00AF0906">
      <w:pPr>
        <w:ind w:left="10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06" w:rsidRDefault="00AF0906" w:rsidP="00AF0906">
      <w:pPr>
        <w:ind w:left="10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A6" w:rsidRDefault="00D33BA6" w:rsidP="00AF0906">
      <w:pPr>
        <w:ind w:left="10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L’animation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des groups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dans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le cadre de FLE</w:t>
      </w:r>
    </w:p>
    <w:p w:rsidR="00D33BA6" w:rsidRDefault="00D33BA6" w:rsidP="00806F9D">
      <w:pPr>
        <w:ind w:left="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839" w:rsidRPr="009F3839" w:rsidRDefault="009F3839" w:rsidP="00806F9D">
      <w:pPr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3839">
        <w:rPr>
          <w:rFonts w:ascii="Times New Roman" w:hAnsi="Times New Roman" w:cs="Times New Roman"/>
          <w:sz w:val="24"/>
          <w:szCs w:val="24"/>
        </w:rPr>
        <w:t>Avant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de commencer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activite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le cadre du FLE,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faut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connaitre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auquel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nous la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proposons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3839" w:rsidRDefault="009F3839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proofErr w:type="spellStart"/>
      <w:r w:rsidRPr="009F3839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le cadre du FLE,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l’animation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9F3839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9F3839">
        <w:rPr>
          <w:rFonts w:ascii="Times New Roman" w:hAnsi="Times New Roman" w:cs="Times New Roman"/>
          <w:sz w:val="24"/>
          <w:szCs w:val="24"/>
        </w:rPr>
        <w:t xml:space="preserve"> role </w:t>
      </w:r>
      <w:proofErr w:type="spellStart"/>
      <w:r w:rsidRPr="009F3839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9F3839">
        <w:rPr>
          <w:rFonts w:ascii="Times New Roman" w:hAnsi="Times New Roman" w:cs="Times New Roman"/>
          <w:sz w:val="24"/>
          <w:szCs w:val="24"/>
        </w:rPr>
        <w:t xml:space="preserve"> important. </w:t>
      </w:r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Les techniques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d’animation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se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fondent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essentiellement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sur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un concept central de la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psychosociologie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discipline –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carrefour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dont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l’un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théoriciens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les plus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connus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est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Kurt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Lewin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qui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s'est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beaucoup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intéressé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à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l’étude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relations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interindividuelles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au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sein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dans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 cadre du travail en </w:t>
      </w:r>
      <w:proofErr w:type="spellStart"/>
      <w:proofErr w:type="gram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équipe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 ;</w:t>
      </w:r>
      <w:proofErr w:type="gram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la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conduite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réunions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de la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dynamique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de la communication, des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méthodes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d’animation</w:t>
      </w:r>
      <w:proofErr w:type="spellEnd"/>
      <w:r w:rsidRPr="009F3839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,  etc.</w:t>
      </w:r>
    </w:p>
    <w:p w:rsidR="009F3839" w:rsidRDefault="009F3839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Dans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 cadre du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professeur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FLE suit la cohesion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et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niveau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d’interaction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du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auquel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il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enseigne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. D’un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autre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point de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vue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il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peut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aussi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observer 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niveau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communication qui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existe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entre les members du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en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suivant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aussi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capacite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comprehension et de production des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eleves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.</w:t>
      </w:r>
    </w:p>
    <w:p w:rsidR="00F925AC" w:rsidRDefault="00F925AC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comportament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du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traits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comme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: </w:t>
      </w:r>
    </w:p>
    <w:p w:rsidR="009F3839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la structure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formelle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ou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informelle</w:t>
      </w:r>
      <w:proofErr w:type="spellEnd"/>
    </w:p>
    <w:p w:rsidR="00F925AC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la communication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directe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ou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indirect</w:t>
      </w:r>
    </w:p>
    <w:p w:rsidR="00F925AC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normes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existentes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entre les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membres</w:t>
      </w:r>
      <w:proofErr w:type="spellEnd"/>
    </w:p>
    <w:p w:rsidR="00F925AC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les buts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suivis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par les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membres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pur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resoudre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probleme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donne</w:t>
      </w:r>
      <w:proofErr w:type="spellEnd"/>
    </w:p>
    <w:p w:rsidR="00F925AC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les qualities de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animateurs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et des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animes</w:t>
      </w:r>
      <w:proofErr w:type="spellEnd"/>
    </w:p>
    <w:p w:rsidR="00F925AC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la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creativite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</w:p>
    <w:p w:rsidR="00F925AC" w:rsidRDefault="00F925AC" w:rsidP="00F925A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l’originalite</w:t>
      </w:r>
      <w:proofErr w:type="spellEnd"/>
    </w:p>
    <w:p w:rsidR="00F925AC" w:rsidRPr="00F925AC" w:rsidRDefault="00F925AC" w:rsidP="00F925AC">
      <w:pPr>
        <w:pStyle w:val="ListParagraph"/>
        <w:ind w:left="108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</w:p>
    <w:p w:rsidR="00AF0906" w:rsidRDefault="00AF0906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</w:p>
    <w:p w:rsidR="00AF0906" w:rsidRDefault="00AF0906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</w:p>
    <w:p w:rsidR="00AF0906" w:rsidRDefault="00AF0906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</w:p>
    <w:p w:rsidR="00AF0906" w:rsidRDefault="00AF0906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</w:p>
    <w:p w:rsidR="009F3839" w:rsidRDefault="009F3839" w:rsidP="00806F9D">
      <w:pPr>
        <w:ind w:left="360"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lastRenderedPageBreak/>
        <w:t>Une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plus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utilisees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methodes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d’animation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groupes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est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blason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.</w:t>
      </w:r>
    </w:p>
    <w:p w:rsidR="00F925AC" w:rsidRDefault="00AF0906" w:rsidP="00AF0906">
      <w:pPr>
        <w:ind w:left="360" w:firstLine="360"/>
        <w:jc w:val="center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97286" cy="1964234"/>
            <wp:effectExtent l="19050" t="0" r="7914" b="0"/>
            <wp:docPr id="5" name="Picture 4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1949" cy="1966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5AC" w:rsidRDefault="00F925AC" w:rsidP="00F925AC">
      <w:pPr>
        <w:ind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blason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est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une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methode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active qui a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comme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principal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objectif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la comprehension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personalisee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notions,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ayant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en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vue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la perspective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personnelle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sur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probleme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donne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.</w:t>
      </w:r>
    </w:p>
    <w:p w:rsidR="00F925AC" w:rsidRDefault="00F925AC" w:rsidP="00F925AC">
      <w:pPr>
        <w:ind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blason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peut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etre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utilise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pour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tous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niveaux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, a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partir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A1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jusqu’a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C2.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Biensur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que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les representations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auront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elles-aussi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niveaux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different, des plus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mimetiques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a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ceux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qui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impliquent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plus de symbolism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ou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d’abstraction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.</w:t>
      </w:r>
      <w:proofErr w:type="gramEnd"/>
    </w:p>
    <w:p w:rsidR="00F925AC" w:rsidRDefault="00F925AC" w:rsidP="00F925AC">
      <w:pPr>
        <w:ind w:firstLine="360"/>
        <w:jc w:val="both"/>
        <w:rPr>
          <w:rFonts w:ascii="Times New Roman" w:hAnsi="Times New Roman" w:cs="Times New Roman"/>
          <w:snapToGrid w:val="0"/>
          <w:sz w:val="24"/>
          <w:szCs w:val="24"/>
          <w:lang w:eastAsia="fr-FR"/>
        </w:rPr>
      </w:pPr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blason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proposé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par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l’enseignant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peut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prendre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des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form</w:t>
      </w: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très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variées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et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aborder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tous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les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thèmes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souhaités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. </w:t>
      </w:r>
      <w:proofErr w:type="gram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Il</w:t>
      </w:r>
      <w:proofErr w:type="gram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peut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également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évoluer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au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fil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du temps en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fonction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du public et des </w:t>
      </w:r>
      <w:proofErr w:type="spellStart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objectifs</w:t>
      </w:r>
      <w:proofErr w:type="spellEnd"/>
      <w:r w:rsidRPr="00F925AC">
        <w:rPr>
          <w:rFonts w:ascii="Times New Roman" w:hAnsi="Times New Roman" w:cs="Times New Roman"/>
          <w:snapToGrid w:val="0"/>
          <w:sz w:val="24"/>
          <w:szCs w:val="24"/>
          <w:lang w:eastAsia="fr-FR"/>
        </w:rPr>
        <w:t xml:space="preserve"> de formation </w:t>
      </w:r>
      <w:r>
        <w:rPr>
          <w:rFonts w:ascii="Times New Roman" w:hAnsi="Times New Roman" w:cs="Times New Roman"/>
          <w:snapToGrid w:val="0"/>
          <w:sz w:val="24"/>
          <w:szCs w:val="24"/>
          <w:lang w:eastAsia="fr-FR"/>
        </w:rPr>
        <w:t>identifies.</w:t>
      </w:r>
    </w:p>
    <w:p w:rsidR="00F925AC" w:rsidRPr="00F925AC" w:rsidRDefault="00F925AC" w:rsidP="00F925A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25AC">
        <w:rPr>
          <w:rFonts w:ascii="Times New Roman" w:hAnsi="Times New Roman" w:cs="Times New Roman"/>
          <w:sz w:val="24"/>
          <w:szCs w:val="24"/>
        </w:rPr>
        <w:t xml:space="preserve">La technique du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blason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consiste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à faire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compléter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, par les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membres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d’un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, des items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choisis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par le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formateur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l’enseignant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5AC" w:rsidRPr="00F925AC" w:rsidRDefault="00F925AC" w:rsidP="00F925A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25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F925AC">
        <w:rPr>
          <w:rFonts w:ascii="Times New Roman" w:hAnsi="Times New Roman" w:cs="Times New Roman"/>
          <w:sz w:val="24"/>
          <w:szCs w:val="24"/>
        </w:rPr>
        <w:t>exemple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925A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Écrire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phrase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sur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les</w:t>
      </w:r>
      <w:r>
        <w:rPr>
          <w:rFonts w:ascii="Times New Roman" w:hAnsi="Times New Roman" w:cs="Times New Roman"/>
          <w:sz w:val="24"/>
          <w:szCs w:val="24"/>
        </w:rPr>
        <w:t xml:space="preserve"> qualities d’un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»). Après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réflexion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individuelle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collective (en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sous-groupes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chaque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d’individus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présente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son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blason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l’assemblée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5AC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F925AC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défend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925AC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cette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présentation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peuvent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naître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débats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Cette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technique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permet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à la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fois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rendre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compte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du savoir (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connaissances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>), du savoir-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représentations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5AC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F925AC">
        <w:rPr>
          <w:rFonts w:ascii="Times New Roman" w:hAnsi="Times New Roman" w:cs="Times New Roman"/>
          <w:sz w:val="24"/>
          <w:szCs w:val="24"/>
        </w:rPr>
        <w:t xml:space="preserve"> attitudes) et du savoir-faire (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compétences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comportements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d’une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personne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d’un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personnes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>.</w:t>
      </w:r>
    </w:p>
    <w:p w:rsidR="00F925AC" w:rsidRPr="00F925AC" w:rsidRDefault="00F925AC" w:rsidP="00F925A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25AC">
        <w:rPr>
          <w:rFonts w:ascii="Times New Roman" w:hAnsi="Times New Roman" w:cs="Times New Roman"/>
          <w:sz w:val="24"/>
          <w:szCs w:val="24"/>
        </w:rPr>
        <w:t xml:space="preserve">Elle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peut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utilisée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F925AC">
        <w:rPr>
          <w:rFonts w:ascii="Times New Roman" w:hAnsi="Times New Roman" w:cs="Times New Roman"/>
          <w:sz w:val="24"/>
          <w:szCs w:val="24"/>
        </w:rPr>
        <w:t>différents</w:t>
      </w:r>
      <w:proofErr w:type="spellEnd"/>
      <w:r w:rsidRPr="00F92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5AC">
        <w:rPr>
          <w:rFonts w:ascii="Times New Roman" w:hAnsi="Times New Roman" w:cs="Times New Roman"/>
          <w:sz w:val="24"/>
          <w:szCs w:val="24"/>
        </w:rPr>
        <w:t>moments :</w:t>
      </w:r>
      <w:proofErr w:type="gramEnd"/>
    </w:p>
    <w:p w:rsidR="00F925AC" w:rsidRPr="00FB1775" w:rsidRDefault="00F925AC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 xml:space="preserve">au tout début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d’une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action,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exercice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présentation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nécessaire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à la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genèse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F925AC" w:rsidRPr="00FB1775" w:rsidRDefault="00F925AC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cours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d’une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action,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l’objectif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réaliser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photographie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individuelle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collective d’un rapport à un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sujet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donné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F925AC" w:rsidRDefault="00F925AC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75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FB1775">
        <w:rPr>
          <w:rFonts w:ascii="Times New Roman" w:hAnsi="Times New Roman" w:cs="Times New Roman"/>
          <w:sz w:val="24"/>
          <w:szCs w:val="24"/>
        </w:rPr>
        <w:t xml:space="preserve"> la fin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d’une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action,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support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d’évaluation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>
        <w:rPr>
          <w:rFonts w:ascii="Times New Roman" w:hAnsi="Times New Roman" w:cs="Times New Roman"/>
          <w:sz w:val="24"/>
          <w:szCs w:val="24"/>
        </w:rPr>
        <w:t>deroulement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exercice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d’animation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suivant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B1775" w:rsidRPr="00FB1775" w:rsidRDefault="00FB1775" w:rsidP="00FB17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>1</w:t>
      </w:r>
      <w:r w:rsidRPr="00FB17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Présentation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finalités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de la séance</w:t>
      </w:r>
    </w:p>
    <w:p w:rsidR="00FB1775" w:rsidRP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775">
        <w:rPr>
          <w:rFonts w:ascii="Times New Roman" w:hAnsi="Times New Roman" w:cs="Times New Roman"/>
          <w:sz w:val="24"/>
          <w:szCs w:val="24"/>
        </w:rPr>
        <w:lastRenderedPageBreak/>
        <w:t>Chaque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participant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devra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compléter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blason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aura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été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remis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façon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à le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présenter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775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FB1775">
        <w:rPr>
          <w:rFonts w:ascii="Times New Roman" w:hAnsi="Times New Roman" w:cs="Times New Roman"/>
          <w:sz w:val="24"/>
          <w:szCs w:val="24"/>
        </w:rPr>
        <w:t xml:space="preserve"> second temps, au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reste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75">
        <w:rPr>
          <w:rFonts w:ascii="Times New Roman" w:hAnsi="Times New Roman" w:cs="Times New Roman"/>
          <w:b/>
          <w:sz w:val="24"/>
          <w:szCs w:val="24"/>
        </w:rPr>
        <w:t>Remarque</w:t>
      </w:r>
      <w:r w:rsidRPr="00FB17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1775">
        <w:rPr>
          <w:rFonts w:ascii="Times New Roman" w:hAnsi="Times New Roman" w:cs="Times New Roman"/>
          <w:sz w:val="24"/>
          <w:szCs w:val="24"/>
        </w:rPr>
        <w:t xml:space="preserve"> Il ne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s’agit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ici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répondre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à des questions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bien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livrer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son opinion.</w:t>
      </w:r>
    </w:p>
    <w:p w:rsidR="00FB1775" w:rsidRPr="00FB1775" w:rsidRDefault="00FB1775" w:rsidP="00FB17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 xml:space="preserve">2. </w:t>
      </w:r>
      <w:r w:rsidRPr="00FB1775">
        <w:rPr>
          <w:rFonts w:ascii="Times New Roman" w:hAnsi="Times New Roman" w:cs="Times New Roman"/>
          <w:i/>
          <w:sz w:val="24"/>
          <w:szCs w:val="24"/>
        </w:rPr>
        <w:t xml:space="preserve">Lecture collective des items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constitutifs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du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blason</w:t>
      </w:r>
      <w:proofErr w:type="spellEnd"/>
    </w:p>
    <w:p w:rsidR="00FB1775" w:rsidRP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 xml:space="preserve">Les items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choisis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par le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formateur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l’enseignant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fonction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objectifs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la formation </w:t>
      </w:r>
      <w:proofErr w:type="gramStart"/>
      <w:r w:rsidRPr="00FB1775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peuvent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évoluer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avec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celle-ci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P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>3</w:t>
      </w:r>
      <w:r w:rsidRPr="00FB17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Écriture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du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blason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seul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ou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en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sous-groupe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(de 20 à 30 minutes</w:t>
      </w:r>
      <w:r w:rsidRPr="00FB1775">
        <w:rPr>
          <w:rFonts w:ascii="Times New Roman" w:hAnsi="Times New Roman" w:cs="Times New Roman"/>
          <w:sz w:val="24"/>
          <w:szCs w:val="24"/>
        </w:rPr>
        <w:t>)</w:t>
      </w: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75">
        <w:rPr>
          <w:rFonts w:ascii="Times New Roman" w:hAnsi="Times New Roman" w:cs="Times New Roman"/>
          <w:sz w:val="24"/>
          <w:szCs w:val="24"/>
        </w:rPr>
        <w:t xml:space="preserve">Des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dessins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symboles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peuvent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aussi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utilisés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1775" w:rsidRPr="00FB1775" w:rsidRDefault="00FB1775" w:rsidP="00FB17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B177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Affichage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ou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présentation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orale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l’ensemble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blasons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1775" w:rsidRDefault="00FB1775" w:rsidP="00FB17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B1775">
        <w:rPr>
          <w:rFonts w:ascii="Times New Roman" w:hAnsi="Times New Roman" w:cs="Times New Roman"/>
          <w:i/>
          <w:sz w:val="24"/>
          <w:szCs w:val="24"/>
        </w:rPr>
        <w:t xml:space="preserve">5.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Commentaires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B1775">
        <w:rPr>
          <w:rFonts w:ascii="Times New Roman" w:hAnsi="Times New Roman" w:cs="Times New Roman"/>
          <w:i/>
          <w:sz w:val="24"/>
          <w:szCs w:val="24"/>
        </w:rPr>
        <w:t>et</w:t>
      </w:r>
      <w:proofErr w:type="gram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échanges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sur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leur</w:t>
      </w:r>
      <w:proofErr w:type="spellEnd"/>
      <w:r w:rsidRPr="00FB17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i/>
          <w:sz w:val="24"/>
          <w:szCs w:val="24"/>
        </w:rPr>
        <w:t>contenu</w:t>
      </w:r>
      <w:proofErr w:type="spellEnd"/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775" w:rsidRP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avantages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suivants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B1775" w:rsidRPr="00FB1775" w:rsidRDefault="00FB1775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Permet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faciliter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l’expression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chacun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Pr="00FB1775" w:rsidRDefault="00FB1775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Permet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d’identifier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B1775">
        <w:rPr>
          <w:rFonts w:ascii="Times New Roman" w:hAnsi="Times New Roman" w:cs="Times New Roman"/>
          <w:sz w:val="24"/>
          <w:szCs w:val="24"/>
        </w:rPr>
        <w:t>ses</w:t>
      </w:r>
      <w:proofErr w:type="spellEnd"/>
      <w:proofErr w:type="gram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représentations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et/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connaissances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Default="00FB1775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775">
        <w:rPr>
          <w:rFonts w:ascii="Times New Roman" w:hAnsi="Times New Roman" w:cs="Times New Roman"/>
          <w:sz w:val="24"/>
          <w:szCs w:val="24"/>
        </w:rPr>
        <w:t>Facilite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échanges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775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FB177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créativité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(expression possible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sous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forme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symboles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dessins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).</w:t>
      </w: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</w:t>
      </w:r>
      <w:proofErr w:type="spellStart"/>
      <w:r>
        <w:rPr>
          <w:rFonts w:ascii="Times New Roman" w:hAnsi="Times New Roman" w:cs="Times New Roman"/>
          <w:sz w:val="24"/>
          <w:szCs w:val="24"/>
        </w:rPr>
        <w:t>pouvons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aussi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identifier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cette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methode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B1775" w:rsidRPr="00FB1775" w:rsidRDefault="00FB1775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775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explication des items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choisis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peut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nécessaire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lors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l’utilisation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cette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technique avec des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Pr="00FB1775" w:rsidRDefault="00FB1775" w:rsidP="00FB17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775">
        <w:rPr>
          <w:rFonts w:ascii="Times New Roman" w:hAnsi="Times New Roman" w:cs="Times New Roman"/>
          <w:sz w:val="24"/>
          <w:szCs w:val="24"/>
        </w:rPr>
        <w:t>Nécessite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penser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la construction de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blasons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FB1775">
        <w:rPr>
          <w:rFonts w:ascii="Times New Roman" w:hAnsi="Times New Roman" w:cs="Times New Roman"/>
          <w:sz w:val="24"/>
          <w:szCs w:val="24"/>
        </w:rPr>
        <w:t>amont</w:t>
      </w:r>
      <w:proofErr w:type="spellEnd"/>
      <w:r w:rsidRPr="00FB1775">
        <w:rPr>
          <w:rFonts w:ascii="Times New Roman" w:hAnsi="Times New Roman" w:cs="Times New Roman"/>
          <w:sz w:val="24"/>
          <w:szCs w:val="24"/>
        </w:rPr>
        <w:t>.</w:t>
      </w: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906" w:rsidRPr="00FB1775" w:rsidRDefault="00AF0906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Exemple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sequence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didactique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implicant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l’animation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>
        <w:rPr>
          <w:rFonts w:ascii="Times New Roman" w:hAnsi="Times New Roman" w:cs="Times New Roman"/>
          <w:sz w:val="24"/>
          <w:szCs w:val="24"/>
        </w:rPr>
        <w:t>groupe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B1775" w:rsidRDefault="00FB1775" w:rsidP="00FB1775">
      <w:pPr>
        <w:tabs>
          <w:tab w:val="left" w:pos="900"/>
        </w:tabs>
        <w:spacing w:after="0"/>
        <w:rPr>
          <w:rFonts w:ascii="Times New Roman" w:hAnsi="Times New Roman"/>
          <w:sz w:val="24"/>
          <w:szCs w:val="24"/>
          <w:lang w:val="fr-FR"/>
        </w:rPr>
      </w:pPr>
    </w:p>
    <w:p w:rsidR="00FB1775" w:rsidRDefault="00FB1775" w:rsidP="00FB1775">
      <w:pPr>
        <w:tabs>
          <w:tab w:val="left" w:pos="900"/>
        </w:tabs>
        <w:spacing w:after="0"/>
        <w:rPr>
          <w:rFonts w:ascii="Times New Roman" w:hAnsi="Times New Roman"/>
          <w:sz w:val="24"/>
          <w:szCs w:val="24"/>
          <w:lang w:val="fr-FR"/>
        </w:rPr>
      </w:pPr>
    </w:p>
    <w:p w:rsidR="00FB1775" w:rsidRPr="00A577EB" w:rsidRDefault="00FB1775" w:rsidP="00FB1775">
      <w:pPr>
        <w:jc w:val="center"/>
        <w:rPr>
          <w:rFonts w:ascii="Times New Roman" w:hAnsi="Times New Roman"/>
          <w:b/>
          <w:sz w:val="24"/>
          <w:szCs w:val="24"/>
          <w:u w:val="single"/>
          <w:lang w:val="fr-FR"/>
        </w:rPr>
      </w:pPr>
      <w:r w:rsidRPr="00A577EB">
        <w:rPr>
          <w:rFonts w:ascii="Times New Roman" w:hAnsi="Times New Roman"/>
          <w:b/>
          <w:sz w:val="24"/>
          <w:szCs w:val="24"/>
          <w:u w:val="single"/>
          <w:lang w:val="fr-FR"/>
        </w:rPr>
        <w:t>Le blason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Sujet de la leçon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A577EB">
        <w:rPr>
          <w:rFonts w:ascii="Times New Roman" w:hAnsi="Times New Roman"/>
          <w:b/>
          <w:sz w:val="24"/>
          <w:szCs w:val="24"/>
          <w:lang w:val="fr-FR"/>
        </w:rPr>
        <w:t>Bienvenus a l’école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Type de leçon</w:t>
      </w:r>
      <w:r w:rsidRPr="00226C82">
        <w:rPr>
          <w:rFonts w:ascii="Times New Roman" w:hAnsi="Times New Roman"/>
          <w:sz w:val="24"/>
          <w:szCs w:val="24"/>
          <w:lang w:val="fr-FR"/>
        </w:rPr>
        <w:t> : leçon d’acquisition de connaissances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But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comment se présenter</w:t>
      </w:r>
      <w:r w:rsidRPr="00226C82">
        <w:rPr>
          <w:rFonts w:ascii="Times New Roman" w:hAnsi="Times New Roman"/>
          <w:sz w:val="24"/>
          <w:szCs w:val="24"/>
          <w:lang w:val="fr-FR"/>
        </w:rPr>
        <w:t> ;</w:t>
      </w:r>
    </w:p>
    <w:p w:rsidR="00FB1775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Niveau de la classe</w:t>
      </w:r>
      <w:r>
        <w:rPr>
          <w:rFonts w:ascii="Times New Roman" w:hAnsi="Times New Roman"/>
          <w:sz w:val="24"/>
          <w:szCs w:val="24"/>
          <w:lang w:val="fr-FR"/>
        </w:rPr>
        <w:t> : B</w:t>
      </w:r>
      <w:r w:rsidRPr="00226C82">
        <w:rPr>
          <w:rFonts w:ascii="Times New Roman" w:hAnsi="Times New Roman"/>
          <w:sz w:val="24"/>
          <w:szCs w:val="24"/>
          <w:lang w:val="fr-FR"/>
        </w:rPr>
        <w:t>1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Compétences spécifiques :</w:t>
      </w:r>
    </w:p>
    <w:p w:rsidR="00FB1775" w:rsidRPr="00226C82" w:rsidRDefault="00FB1775" w:rsidP="00FB1775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sz w:val="24"/>
          <w:szCs w:val="24"/>
          <w:lang w:val="fr-FR"/>
        </w:rPr>
        <w:t>C1 – identifier le sens des mots d’après des images/associer les unités lexicaux aux images ;</w:t>
      </w:r>
    </w:p>
    <w:p w:rsidR="00FB1775" w:rsidRPr="00226C82" w:rsidRDefault="00FB1775" w:rsidP="00FB1775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sz w:val="24"/>
          <w:szCs w:val="24"/>
          <w:lang w:val="fr-FR"/>
        </w:rPr>
        <w:t>C2 – savoir demander quelque chose ;</w:t>
      </w:r>
    </w:p>
    <w:p w:rsidR="00FB1775" w:rsidRPr="00226C82" w:rsidRDefault="00FB1775" w:rsidP="00FB1775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sz w:val="24"/>
          <w:szCs w:val="24"/>
          <w:lang w:val="fr-FR"/>
        </w:rPr>
        <w:t>C</w:t>
      </w:r>
      <w:r>
        <w:rPr>
          <w:rFonts w:ascii="Times New Roman" w:hAnsi="Times New Roman"/>
          <w:sz w:val="24"/>
          <w:szCs w:val="24"/>
          <w:lang w:val="fr-FR"/>
        </w:rPr>
        <w:t>3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 – savoir donner des indications ;</w:t>
      </w:r>
    </w:p>
    <w:p w:rsidR="00FB1775" w:rsidRPr="00226C82" w:rsidRDefault="00FB1775" w:rsidP="00FB1775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C4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 – apprendre à utiliser le dictionnaire ;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Stratégies didactiques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la conversation, la lecture de l’image, 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Formes d’organisation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en groupe</w:t>
      </w:r>
      <w:r w:rsidRPr="00226C82">
        <w:rPr>
          <w:rFonts w:ascii="Times New Roman" w:hAnsi="Times New Roman"/>
          <w:sz w:val="24"/>
          <w:szCs w:val="24"/>
          <w:lang w:val="fr-FR"/>
        </w:rPr>
        <w:t> </w:t>
      </w:r>
      <w:r>
        <w:rPr>
          <w:rFonts w:ascii="Times New Roman" w:hAnsi="Times New Roman"/>
          <w:sz w:val="24"/>
          <w:szCs w:val="24"/>
          <w:lang w:val="fr-FR"/>
        </w:rPr>
        <w:t>20 personnes</w:t>
      </w:r>
      <w:r w:rsidRPr="00226C82">
        <w:rPr>
          <w:rFonts w:ascii="Times New Roman" w:hAnsi="Times New Roman"/>
          <w:sz w:val="24"/>
          <w:szCs w:val="24"/>
          <w:lang w:val="fr-FR"/>
        </w:rPr>
        <w:t>;</w:t>
      </w: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Matériel didactique</w:t>
      </w:r>
      <w:r w:rsidRPr="00226C82">
        <w:rPr>
          <w:rFonts w:ascii="Times New Roman" w:hAnsi="Times New Roman"/>
          <w:sz w:val="24"/>
          <w:szCs w:val="24"/>
          <w:lang w:val="fr-FR"/>
        </w:rPr>
        <w:t> </w:t>
      </w:r>
      <w:r>
        <w:rPr>
          <w:rFonts w:ascii="Times New Roman" w:hAnsi="Times New Roman"/>
          <w:sz w:val="24"/>
          <w:szCs w:val="24"/>
          <w:lang w:val="fr-FR"/>
        </w:rPr>
        <w:t>une feuille de papier pour chaque participant comprenant le contour d’un blason</w:t>
      </w:r>
    </w:p>
    <w:p w:rsidR="00FB1775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Durée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30 minutes</w:t>
      </w:r>
    </w:p>
    <w:p w:rsidR="00FB1775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FB1775" w:rsidRPr="00FB1775" w:rsidRDefault="00FB1775" w:rsidP="00FB1775">
      <w:pPr>
        <w:spacing w:after="0" w:line="36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FB1775">
        <w:rPr>
          <w:rFonts w:ascii="Times New Roman" w:hAnsi="Times New Roman"/>
          <w:b/>
          <w:sz w:val="24"/>
          <w:szCs w:val="24"/>
          <w:lang w:val="fr-FR"/>
        </w:rPr>
        <w:t xml:space="preserve">Mes </w:t>
      </w:r>
      <w:proofErr w:type="spellStart"/>
      <w:r w:rsidRPr="00FB1775">
        <w:rPr>
          <w:rFonts w:ascii="Times New Roman" w:hAnsi="Times New Roman"/>
          <w:b/>
          <w:sz w:val="24"/>
          <w:szCs w:val="24"/>
          <w:lang w:val="fr-FR"/>
        </w:rPr>
        <w:t>preferences</w:t>
      </w:r>
      <w:proofErr w:type="spellEnd"/>
    </w:p>
    <w:p w:rsidR="00FB1775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FB1775" w:rsidRPr="00226C82" w:rsidRDefault="00FB1775" w:rsidP="00FB1775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Ecrivez votre nom sur le dessin. Dessinez un animal, une plante, une forme géométrique et un objet que vous préférez. Présentez les choix à vos collègues.</w:t>
      </w:r>
    </w:p>
    <w:p w:rsidR="00FB1775" w:rsidRDefault="00FB1775" w:rsidP="00FB1775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254635</wp:posOffset>
            </wp:positionV>
            <wp:extent cx="3681095" cy="5514975"/>
            <wp:effectExtent l="19050" t="0" r="0" b="0"/>
            <wp:wrapSquare wrapText="bothSides"/>
            <wp:docPr id="4" name="Picture 0" descr="blaz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z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109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775" w:rsidRPr="00FB1775" w:rsidRDefault="00FB1775" w:rsidP="00FB1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ED7" w:rsidRPr="009F3839" w:rsidRDefault="00666ED7" w:rsidP="00806F9D">
      <w:pPr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38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66ED7" w:rsidRPr="009F3839" w:rsidSect="003D4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14" w:rsidRDefault="00014B14" w:rsidP="00666ED7">
      <w:pPr>
        <w:spacing w:after="0" w:line="240" w:lineRule="auto"/>
      </w:pPr>
      <w:r>
        <w:separator/>
      </w:r>
    </w:p>
  </w:endnote>
  <w:endnote w:type="continuationSeparator" w:id="0">
    <w:p w:rsidR="00014B14" w:rsidRDefault="00014B14" w:rsidP="0066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14" w:rsidRDefault="00014B14" w:rsidP="00666ED7">
      <w:pPr>
        <w:spacing w:after="0" w:line="240" w:lineRule="auto"/>
      </w:pPr>
      <w:r>
        <w:separator/>
      </w:r>
    </w:p>
  </w:footnote>
  <w:footnote w:type="continuationSeparator" w:id="0">
    <w:p w:rsidR="00014B14" w:rsidRDefault="00014B14" w:rsidP="00666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D4054"/>
    <w:multiLevelType w:val="hybridMultilevel"/>
    <w:tmpl w:val="4258B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517984"/>
    <w:multiLevelType w:val="hybridMultilevel"/>
    <w:tmpl w:val="9106FCE0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">
    <w:nsid w:val="600C77F8"/>
    <w:multiLevelType w:val="hybridMultilevel"/>
    <w:tmpl w:val="794CC814"/>
    <w:lvl w:ilvl="0" w:tplc="D424EADC">
      <w:start w:val="48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B1B15"/>
    <w:multiLevelType w:val="hybridMultilevel"/>
    <w:tmpl w:val="55482F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A6205D"/>
    <w:multiLevelType w:val="hybridMultilevel"/>
    <w:tmpl w:val="12BAC6F0"/>
    <w:lvl w:ilvl="0" w:tplc="114A9A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2A7DDB"/>
    <w:multiLevelType w:val="hybridMultilevel"/>
    <w:tmpl w:val="07FA69F8"/>
    <w:lvl w:ilvl="0" w:tplc="FFFFFFFF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F9D"/>
    <w:rsid w:val="00014B14"/>
    <w:rsid w:val="000F41A8"/>
    <w:rsid w:val="0020437E"/>
    <w:rsid w:val="003D4ACD"/>
    <w:rsid w:val="00666ED7"/>
    <w:rsid w:val="00806F9D"/>
    <w:rsid w:val="009F3839"/>
    <w:rsid w:val="00AF0906"/>
    <w:rsid w:val="00D33BA6"/>
    <w:rsid w:val="00EB13B3"/>
    <w:rsid w:val="00F925AC"/>
    <w:rsid w:val="00FB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F9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666E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mic Sans MS" w:eastAsia="Times New Roman" w:hAnsi="Comic Sans MS" w:cs="Times New Roman"/>
      <w:color w:val="000000"/>
      <w:sz w:val="28"/>
      <w:szCs w:val="20"/>
      <w:lang w:val="fr-FR"/>
    </w:rPr>
  </w:style>
  <w:style w:type="character" w:customStyle="1" w:styleId="SubtitleChar">
    <w:name w:val="Subtitle Char"/>
    <w:basedOn w:val="DefaultParagraphFont"/>
    <w:link w:val="Subtitle"/>
    <w:rsid w:val="00666ED7"/>
    <w:rPr>
      <w:rFonts w:ascii="Comic Sans MS" w:eastAsia="Times New Roman" w:hAnsi="Comic Sans MS" w:cs="Times New Roman"/>
      <w:color w:val="000000"/>
      <w:sz w:val="28"/>
      <w:szCs w:val="20"/>
      <w:lang w:val="fr-FR"/>
    </w:rPr>
  </w:style>
  <w:style w:type="paragraph" w:styleId="BodyText">
    <w:name w:val="Body Text"/>
    <w:basedOn w:val="Normal"/>
    <w:link w:val="BodyTextChar"/>
    <w:semiHidden/>
    <w:rsid w:val="00666ED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mic Sans MS" w:eastAsia="Times New Roman" w:hAnsi="Comic Sans MS" w:cs="Times New Roman"/>
      <w:color w:val="000000"/>
      <w:sz w:val="24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666ED7"/>
    <w:rPr>
      <w:rFonts w:ascii="Comic Sans MS" w:eastAsia="Times New Roman" w:hAnsi="Comic Sans MS" w:cs="Times New Roman"/>
      <w:color w:val="000000"/>
      <w:sz w:val="24"/>
      <w:szCs w:val="20"/>
      <w:lang w:val="fr-FR"/>
    </w:rPr>
  </w:style>
  <w:style w:type="paragraph" w:styleId="BodyTextIndent">
    <w:name w:val="Body Text Indent"/>
    <w:basedOn w:val="Normal"/>
    <w:link w:val="BodyTextIndentChar"/>
    <w:semiHidden/>
    <w:rsid w:val="00666ED7"/>
    <w:pPr>
      <w:overflowPunct w:val="0"/>
      <w:autoSpaceDE w:val="0"/>
      <w:autoSpaceDN w:val="0"/>
      <w:adjustRightInd w:val="0"/>
      <w:spacing w:after="120" w:line="240" w:lineRule="auto"/>
      <w:ind w:left="1276" w:hanging="916"/>
      <w:jc w:val="both"/>
      <w:textAlignment w:val="baseline"/>
    </w:pPr>
    <w:rPr>
      <w:rFonts w:ascii="Comic Sans MS" w:eastAsia="Times New Roman" w:hAnsi="Comic Sans MS" w:cs="Times New Roman"/>
      <w:color w:val="000000"/>
      <w:sz w:val="24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semiHidden/>
    <w:rsid w:val="00666ED7"/>
    <w:rPr>
      <w:rFonts w:ascii="Comic Sans MS" w:eastAsia="Times New Roman" w:hAnsi="Comic Sans MS" w:cs="Times New Roman"/>
      <w:color w:val="000000"/>
      <w:sz w:val="24"/>
      <w:szCs w:val="20"/>
      <w:lang w:val="fr-FR"/>
    </w:rPr>
  </w:style>
  <w:style w:type="paragraph" w:styleId="BodyTextIndent2">
    <w:name w:val="Body Text Indent 2"/>
    <w:basedOn w:val="Normal"/>
    <w:link w:val="BodyTextIndent2Char"/>
    <w:semiHidden/>
    <w:rsid w:val="00666ED7"/>
    <w:pPr>
      <w:overflowPunct w:val="0"/>
      <w:autoSpaceDE w:val="0"/>
      <w:autoSpaceDN w:val="0"/>
      <w:adjustRightInd w:val="0"/>
      <w:spacing w:after="120" w:line="240" w:lineRule="auto"/>
      <w:ind w:left="1418" w:hanging="1418"/>
      <w:jc w:val="both"/>
      <w:textAlignment w:val="baseline"/>
    </w:pPr>
    <w:rPr>
      <w:rFonts w:ascii="Comic Sans MS" w:eastAsia="Times New Roman" w:hAnsi="Comic Sans MS" w:cs="Times New Roman"/>
      <w:color w:val="000000"/>
      <w:sz w:val="24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66ED7"/>
    <w:rPr>
      <w:rFonts w:ascii="Comic Sans MS" w:eastAsia="Times New Roman" w:hAnsi="Comic Sans MS" w:cs="Times New Roman"/>
      <w:color w:val="000000"/>
      <w:sz w:val="24"/>
      <w:szCs w:val="20"/>
      <w:lang w:val="fr-FR"/>
    </w:rPr>
  </w:style>
  <w:style w:type="paragraph" w:styleId="FootnoteText">
    <w:name w:val="footnote text"/>
    <w:basedOn w:val="Normal"/>
    <w:link w:val="FootnoteTextChar"/>
    <w:semiHidden/>
    <w:rsid w:val="00666E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mic Sans MS" w:eastAsia="Times New Roman" w:hAnsi="Comic Sans MS" w:cs="Times New Roman"/>
      <w:color w:val="00000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666ED7"/>
    <w:rPr>
      <w:rFonts w:ascii="Comic Sans MS" w:eastAsia="Times New Roman" w:hAnsi="Comic Sans MS" w:cs="Times New Roman"/>
      <w:color w:val="000000"/>
      <w:sz w:val="20"/>
      <w:szCs w:val="20"/>
      <w:lang w:val="fr-FR"/>
    </w:rPr>
  </w:style>
  <w:style w:type="character" w:styleId="FootnoteReference">
    <w:name w:val="footnote reference"/>
    <w:basedOn w:val="DefaultParagraphFont"/>
    <w:semiHidden/>
    <w:rsid w:val="00666ED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</dc:creator>
  <cp:keywords/>
  <dc:description/>
  <cp:lastModifiedBy>Anda</cp:lastModifiedBy>
  <cp:revision>5</cp:revision>
  <dcterms:created xsi:type="dcterms:W3CDTF">2012-12-13T06:43:00Z</dcterms:created>
  <dcterms:modified xsi:type="dcterms:W3CDTF">2012-12-13T18:28:00Z</dcterms:modified>
</cp:coreProperties>
</file>